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8974">
      <w:pPr>
        <w:spacing w:line="512" w:lineRule="exact"/>
        <w:ind w:firstLine="480" w:firstLineChars="200"/>
        <w:jc w:val="center"/>
        <w:rPr>
          <w:rFonts w:hint="default" w:ascii="仿宋" w:hAnsi="仿宋" w:eastAsia="仿宋" w:cs="仿宋"/>
          <w:color w:val="FF0000"/>
          <w:sz w:val="24"/>
          <w:szCs w:val="24"/>
          <w:highlight w:val="yellow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（备注：请在签订正式协议时，将文中红色备注部分删除）</w:t>
      </w:r>
    </w:p>
    <w:p w14:paraId="733993BE">
      <w:pPr>
        <w:jc w:val="center"/>
        <w:rPr>
          <w:b/>
          <w:sz w:val="28"/>
          <w:szCs w:val="28"/>
          <w:u w:val="double"/>
        </w:rPr>
      </w:pPr>
      <w:r>
        <w:rPr>
          <w:rFonts w:hint="eastAsia" w:ascii="华文仿宋" w:hAnsi="华文仿宋" w:eastAsia="华文仿宋" w:cs="华文仿宋"/>
          <w:b/>
          <w:sz w:val="44"/>
          <w:szCs w:val="44"/>
          <w:u w:val="none"/>
        </w:rPr>
        <w:t>资</w:t>
      </w:r>
      <w:r>
        <w:rPr>
          <w:rFonts w:hint="eastAsia" w:ascii="华文仿宋" w:hAnsi="华文仿宋" w:eastAsia="华文仿宋" w:cs="华文仿宋"/>
          <w:b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/>
          <w:sz w:val="44"/>
          <w:szCs w:val="44"/>
          <w:u w:val="none"/>
        </w:rPr>
        <w:t>助</w:t>
      </w:r>
      <w:r>
        <w:rPr>
          <w:rFonts w:hint="eastAsia" w:ascii="华文仿宋" w:hAnsi="华文仿宋" w:eastAsia="华文仿宋" w:cs="华文仿宋"/>
          <w:b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/>
          <w:sz w:val="44"/>
          <w:szCs w:val="44"/>
          <w:u w:val="none"/>
        </w:rPr>
        <w:t>协</w:t>
      </w:r>
      <w:r>
        <w:rPr>
          <w:rFonts w:hint="eastAsia" w:ascii="华文仿宋" w:hAnsi="华文仿宋" w:eastAsia="华文仿宋" w:cs="华文仿宋"/>
          <w:b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/>
          <w:sz w:val="44"/>
          <w:szCs w:val="44"/>
          <w:u w:val="none"/>
        </w:rPr>
        <w:t>议</w:t>
      </w:r>
    </w:p>
    <w:p w14:paraId="3CAAF3E8"/>
    <w:p w14:paraId="1A79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资助方：</w:t>
      </w:r>
      <w:r>
        <w:rPr>
          <w:rFonts w:hint="eastAsia" w:ascii="仿宋" w:hAnsi="仿宋" w:eastAsia="仿宋" w:cs="仿宋"/>
          <w:b/>
          <w:bCs/>
          <w:sz w:val="24"/>
          <w:szCs w:val="24"/>
          <w:u w:val="dotted"/>
        </w:rPr>
        <w:t>海南尚霖阳光医学发展基金会</w:t>
      </w:r>
      <w:r>
        <w:rPr>
          <w:rFonts w:hint="eastAsia" w:ascii="仿宋" w:hAnsi="仿宋" w:eastAsia="仿宋" w:cs="仿宋"/>
          <w:sz w:val="24"/>
          <w:szCs w:val="24"/>
        </w:rPr>
        <w:t>（以下简称甲方）</w:t>
      </w:r>
    </w:p>
    <w:p w14:paraId="7D56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受助方：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dotted"/>
          <w:lang w:val="en-US" w:eastAsia="zh-CN"/>
        </w:rPr>
        <w:t xml:space="preserve">  xx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dotted"/>
        </w:rPr>
        <w:t>医科大学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dotted"/>
          <w:lang w:val="en-US" w:eastAsia="zh-CN"/>
        </w:rPr>
        <w:t>xx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dotted"/>
        </w:rPr>
        <w:t>附属医院</w:t>
      </w:r>
      <w:r>
        <w:rPr>
          <w:rFonts w:hint="eastAsia" w:ascii="仿宋" w:hAnsi="仿宋" w:eastAsia="仿宋" w:cs="仿宋"/>
          <w:sz w:val="24"/>
          <w:szCs w:val="24"/>
        </w:rPr>
        <w:t>（以下简称乙方）</w:t>
      </w:r>
    </w:p>
    <w:p w14:paraId="6BB3E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dotted"/>
        </w:rPr>
      </w:pPr>
      <w:r>
        <w:rPr>
          <w:rFonts w:hint="eastAsia" w:ascii="仿宋" w:hAnsi="仿宋" w:eastAsia="仿宋" w:cs="仿宋"/>
          <w:sz w:val="24"/>
          <w:szCs w:val="24"/>
        </w:rPr>
        <w:t>课题负责人姓名：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dotted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dotted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4"/>
          <w:szCs w:val="24"/>
          <w:u w:val="dotted"/>
        </w:rPr>
        <w:t xml:space="preserve">  </w:t>
      </w:r>
    </w:p>
    <w:p w14:paraId="32D6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szCs w:val="24"/>
          <w:u w:val="dotted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dotted"/>
          <w:lang w:val="en-US" w:eastAsia="zh-CN"/>
        </w:rPr>
        <w:t>xxxxxxxx</w:t>
      </w:r>
      <w:r>
        <w:rPr>
          <w:rFonts w:hint="eastAsia" w:ascii="仿宋" w:hAnsi="仿宋" w:eastAsia="仿宋" w:cs="仿宋"/>
          <w:color w:val="auto"/>
          <w:sz w:val="24"/>
          <w:szCs w:val="24"/>
          <w:u w:val="dotted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dotted"/>
        </w:rPr>
        <w:t xml:space="preserve">    </w:t>
      </w:r>
    </w:p>
    <w:p w14:paraId="1503F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单位科室：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dotted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dotted"/>
          <w:lang w:val="en-US" w:eastAsia="zh-CN"/>
        </w:rPr>
        <w:t>xxx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dotted"/>
        </w:rPr>
        <w:t xml:space="preserve">科      </w:t>
      </w:r>
      <w:r>
        <w:rPr>
          <w:rFonts w:hint="eastAsia" w:ascii="仿宋" w:hAnsi="仿宋" w:eastAsia="仿宋" w:cs="仿宋"/>
          <w:b/>
          <w:sz w:val="24"/>
          <w:szCs w:val="24"/>
          <w:u w:val="dotted"/>
        </w:rPr>
        <w:t xml:space="preserve">    </w:t>
      </w:r>
    </w:p>
    <w:p w14:paraId="12E5C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A502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经甲方对申报项目的评审，乙方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申报的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  <w:lang w:val="en-US" w:eastAsia="zh-CN"/>
        </w:rPr>
        <w:t>xxxxxxxxxxxxx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</w:rPr>
        <w:t>的临床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  <w:lang w:val="en-US" w:eastAsia="zh-CN"/>
        </w:rPr>
        <w:t>科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</w:rPr>
        <w:t>研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>已通过审核批准，资助总金额为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人民币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  <w:lang w:val="en-US" w:eastAsia="zh-CN"/>
        </w:rPr>
        <w:t xml:space="preserve">         元，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</w:rPr>
        <w:t>大写：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dotted"/>
          <w:lang w:val="en-US" w:eastAsia="zh-CN"/>
        </w:rPr>
        <w:t>元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dotted"/>
        </w:rPr>
        <w:t>整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资助时间为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</w:rPr>
        <w:t>202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</w:rPr>
        <w:t>月至202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u w:val="dotted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。特签订以下</w:t>
      </w:r>
      <w:r>
        <w:rPr>
          <w:rFonts w:hint="eastAsia" w:ascii="仿宋" w:hAnsi="仿宋" w:eastAsia="仿宋" w:cs="仿宋"/>
          <w:sz w:val="24"/>
          <w:szCs w:val="24"/>
        </w:rPr>
        <w:t>协议，双方共同遵守。</w:t>
      </w:r>
    </w:p>
    <w:p w14:paraId="4C395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3C22B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甲方资助款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支付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：</w:t>
      </w:r>
    </w:p>
    <w:p w14:paraId="71643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本研究计划付款方式为：</w:t>
      </w:r>
    </w:p>
    <w:p w14:paraId="5BD66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一次性支付：</w:t>
      </w:r>
    </w:p>
    <w:p w14:paraId="4196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具体支付时间及金额为：</w:t>
      </w:r>
      <w:r>
        <w:rPr>
          <w:rFonts w:hint="eastAsia" w:ascii="仿宋" w:hAnsi="仿宋" w:eastAsia="仿宋" w:cs="仿宋"/>
          <w:sz w:val="24"/>
          <w:szCs w:val="24"/>
        </w:rPr>
        <w:t>双方就研究方案达成一致并签署协议后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的10个工作日内支付，金额为人民币：       元，大写      元整。</w:t>
      </w:r>
    </w:p>
    <w:p w14:paraId="0E0E6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分次支付：</w:t>
      </w:r>
      <w:r>
        <w:rPr>
          <w:rFonts w:hint="eastAsia" w:ascii="仿宋" w:hAnsi="仿宋" w:eastAsia="仿宋" w:cs="仿宋"/>
          <w:b w:val="0"/>
          <w:color w:val="FF0000"/>
          <w:kern w:val="2"/>
          <w:sz w:val="24"/>
          <w:szCs w:val="24"/>
          <w:highlight w:val="none"/>
          <w:lang w:val="en-US" w:eastAsia="zh-CN"/>
        </w:rPr>
        <w:t>（备注：勾选分次支付时，对款项分次支付情况按实际修改）</w:t>
      </w:r>
    </w:p>
    <w:p w14:paraId="1D384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00" w:hanging="21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1、第一次付款：双方就研究方案达成一致并签署协议后；正式启动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科研项目</w:t>
      </w:r>
      <w:r>
        <w:rPr>
          <w:rFonts w:hint="eastAsia" w:ascii="仿宋" w:hAnsi="仿宋" w:eastAsia="仿宋" w:cs="仿宋"/>
          <w:sz w:val="24"/>
          <w:szCs w:val="24"/>
        </w:rPr>
        <w:t>，甲方支付资助金额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人民币      元，</w:t>
      </w:r>
      <w:r>
        <w:rPr>
          <w:rFonts w:hint="eastAsia" w:ascii="仿宋" w:hAnsi="仿宋" w:eastAsia="仿宋" w:cs="仿宋"/>
          <w:sz w:val="24"/>
          <w:szCs w:val="24"/>
        </w:rPr>
        <w:t>大写：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元</w:t>
      </w:r>
      <w:r>
        <w:rPr>
          <w:rFonts w:hint="eastAsia" w:ascii="仿宋" w:hAnsi="仿宋" w:eastAsia="仿宋" w:cs="仿宋"/>
          <w:sz w:val="24"/>
          <w:szCs w:val="24"/>
        </w:rPr>
        <w:t>整。</w:t>
      </w:r>
    </w:p>
    <w:p w14:paraId="3FE76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00" w:hanging="21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2、第二次付款：乙方于202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月前提供项目中期报告给甲方，甲方审评通过及监督质量成功后,甲方即支付资助金额尾款，即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人民币     元，</w:t>
      </w:r>
      <w:r>
        <w:rPr>
          <w:rFonts w:hint="eastAsia" w:ascii="仿宋" w:hAnsi="仿宋" w:eastAsia="仿宋" w:cs="仿宋"/>
          <w:sz w:val="24"/>
          <w:szCs w:val="24"/>
        </w:rPr>
        <w:t>大写：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sz w:val="24"/>
          <w:szCs w:val="24"/>
        </w:rPr>
        <w:t>整。</w:t>
      </w:r>
    </w:p>
    <w:p w14:paraId="56419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00" w:hanging="21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次付款：</w:t>
      </w:r>
    </w:p>
    <w:p w14:paraId="71EA9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甲方资助款支付到乙方如下银行账户：</w:t>
      </w:r>
    </w:p>
    <w:p w14:paraId="61B5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7" w:firstLineChars="202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单位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名称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b/>
          <w:bCs/>
          <w:sz w:val="24"/>
          <w:szCs w:val="24"/>
          <w:u w:val="dotted"/>
        </w:rPr>
        <w:t>医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科大学xx附属医院</w:t>
      </w:r>
    </w:p>
    <w:p w14:paraId="1AC8C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7" w:firstLineChars="202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开户银行：xxxx银行xxxx支行</w:t>
      </w:r>
    </w:p>
    <w:p w14:paraId="65A70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7" w:firstLineChars="202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银行账号： xxxxxxxxxxxxx</w:t>
      </w:r>
    </w:p>
    <w:p w14:paraId="2BBB8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乙方应在收到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款项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个工作日内向甲方开具增值税专用发票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（备注：实在无法开专票的，需与甲方沟通后开具其他合法合规票据）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且该票据中记载的付款金额与甲方实际支付的金额一致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如迟延提供或提供的发票不符合财务要求，甲方有权拒绝支付下一期费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用</w:t>
      </w:r>
      <w:r>
        <w:rPr>
          <w:rFonts w:hint="eastAsia" w:ascii="仿宋" w:hAnsi="仿宋" w:eastAsia="仿宋" w:cs="仿宋"/>
          <w:sz w:val="24"/>
          <w:szCs w:val="24"/>
        </w:rPr>
        <w:t>，且不承担任何违约责任。</w:t>
      </w:r>
    </w:p>
    <w:p w14:paraId="5DD7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二、甲方的权利义务</w:t>
      </w:r>
    </w:p>
    <w:p w14:paraId="57FBC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（一）甲方有义务告知乙方通过相关伦理审核；</w:t>
      </w:r>
    </w:p>
    <w:p w14:paraId="585B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（二）甲方负责本项目的实施和监察工作，甲方有权对上述资助项目进行跟踪管理、定期检查，以便及时纠正和解决出现的问题，确保项目顺利实施和经费的合理使用；</w:t>
      </w:r>
    </w:p>
    <w:p w14:paraId="719E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（三）项目完成（或依约定阶段性研究完成，甲方有权组织项目专家评审委员会对预定目标开展评审工作）后，甲方对乙方的科研项目和资金使用情况进行审验及核准结题；</w:t>
      </w:r>
    </w:p>
    <w:p w14:paraId="1B60F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（四）甲方应乙方要求对其临床研究项目负保密义务，保证受试者个人信息和隐私不被批露。</w:t>
      </w:r>
    </w:p>
    <w:p w14:paraId="2244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三、乙方的权利义务</w:t>
      </w:r>
    </w:p>
    <w:p w14:paraId="69121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（一）该研究为临床+基础研究，其中临床研究部分需遵循中华人民共和国国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家</w:t>
      </w:r>
      <w:r>
        <w:rPr>
          <w:rFonts w:hint="eastAsia" w:ascii="仿宋" w:hAnsi="仿宋" w:eastAsia="仿宋" w:cs="仿宋"/>
          <w:sz w:val="24"/>
          <w:szCs w:val="24"/>
        </w:rPr>
        <w:t>药品监督管理局制定的《药物临床实验质量管理规范》及其他有关法规要求进行开展。</w:t>
      </w:r>
    </w:p>
    <w:p w14:paraId="0BB4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（二）成立临床试验小组，制定临床试验方案，并经乙方伦理委员会批准后组织实施；</w:t>
      </w:r>
    </w:p>
    <w:p w14:paraId="7926F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（三）负责组织、协调、督促本中心临床试验的研究者，应严格按照伦理委员会批准的研究方案进行临床研究，并保证研究成果准确、真实、可靠。按时完成临床研究。</w:t>
      </w:r>
    </w:p>
    <w:p w14:paraId="774C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（四）可授权甲方，委派合格的、经过培训的临床监查员，并为实验者所接受，监查临床研究实施过程和所有研究资料确保临床研究符合《药物临床试验质量管理规范》及已批准的临床试验方案的要求。</w:t>
      </w:r>
    </w:p>
    <w:p w14:paraId="546E7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（五）研究结束后，乙方应向甲方提交真实准确的书面总结报告，同时报送费用清单；</w:t>
      </w:r>
    </w:p>
    <w:p w14:paraId="50E30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六）乙方对资助经费应尽合理使用之义务，做到专款专用；乙方应按计划向甲方书面报告项目进展情况及经费使用情况，并在整个计划完成后及时总结整理，或撰写论文；乙方未按约定报告项目进展情况及经费使用情况的，甲方有权拒付剩余经费；</w:t>
      </w:r>
    </w:p>
    <w:p w14:paraId="25E3B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（七）乙方因客观原因需对资助项目的目标、进度和经费等进行重大变更时，应向甲方提出书面申请，经甲方审批。</w:t>
      </w:r>
    </w:p>
    <w:p w14:paraId="2F9B6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四、计划与进度</w:t>
      </w:r>
    </w:p>
    <w:p w14:paraId="60464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在合同正式签定，乙方开始在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医科大学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附属医院等医院内进行临床+基础研究，预计在202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月之前完成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例受试者的筛选、入组、临床观察，并进行相关基础方面研究，最后提交总结报告。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（备注：根据实际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情况进行描述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）</w:t>
      </w:r>
    </w:p>
    <w:p w14:paraId="60BE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五、成果的归宿和分享</w:t>
      </w:r>
    </w:p>
    <w:p w14:paraId="57A40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研究的数据、报告以及利用本研究数据、报告所产生的其他数据、报告等一切相关结果的所有权和使用权归甲乙双方共有，基于本协议研究数据、报告等产生的专利权，专利申请权等归甲方所有，乙方可以免费使用，但在专利正式提出申请前，未经甲方书面许可，乙方不得许可第三方使用，或向第三方披露。</w:t>
      </w:r>
    </w:p>
    <w:p w14:paraId="4595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六、责任和保险</w:t>
      </w:r>
    </w:p>
    <w:p w14:paraId="7EDF6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本研究中所用的试验药品均为已上市药品，并且本研究完全符合临床试验质量管理规范和用药规范，因此本研究不设受试者损害赔偿，若出现受试者在诊疗过程中的损害，按照相应医疗损害赔偿规定执行。</w:t>
      </w:r>
    </w:p>
    <w:p w14:paraId="1C4D0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七、责任承担</w:t>
      </w:r>
    </w:p>
    <w:p w14:paraId="04D08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（一）资助如因不可抗力导致项目研究难以继续进行，甲方有权缓拨经费或撤销资助；</w:t>
      </w:r>
    </w:p>
    <w:p w14:paraId="6D439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（二）乙方若存在严重违规或因各种原因导致项目研究难以继续进行，甲方有权缓拨经费或撤销资助；</w:t>
      </w:r>
    </w:p>
    <w:p w14:paraId="7D5B9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（三）甲方不能按期支付经费时，乙方有权终止进一步实验。</w:t>
      </w:r>
    </w:p>
    <w:p w14:paraId="2DB5A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八、其他</w:t>
      </w:r>
    </w:p>
    <w:p w14:paraId="1FDFF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（一）对本协议如有疑问可参考基金会相应管理办法执行。</w:t>
      </w:r>
    </w:p>
    <w:p w14:paraId="23766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（二）如有未尽事宜，双方可签订补充协议或其他附件。补充协议或其他附件作为本协议不可分割部分自签章之日起生效，与协议具有同等法律效力。</w:t>
      </w:r>
    </w:p>
    <w:p w14:paraId="2B80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（三）如在履行本协议过程中引起纠纷，原则上由双方友好协商解决；协商不成的，任何一方均有权将争议向甲方住所地人民法院提起诉讼。</w:t>
      </w:r>
    </w:p>
    <w:p w14:paraId="7346A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（四）本协议一式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贰</w:t>
      </w:r>
      <w:r>
        <w:rPr>
          <w:rFonts w:hint="eastAsia" w:ascii="仿宋" w:hAnsi="仿宋" w:eastAsia="仿宋" w:cs="仿宋"/>
          <w:sz w:val="24"/>
          <w:szCs w:val="24"/>
        </w:rPr>
        <w:t>份，甲、乙双方各执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壹</w:t>
      </w:r>
      <w:r>
        <w:rPr>
          <w:rFonts w:hint="eastAsia" w:ascii="仿宋" w:hAnsi="仿宋" w:eastAsia="仿宋" w:cs="仿宋"/>
          <w:sz w:val="24"/>
          <w:szCs w:val="24"/>
        </w:rPr>
        <w:t>份。本协议自双方签字盖章之日起生效。</w:t>
      </w:r>
    </w:p>
    <w:p w14:paraId="7D97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（以下无正文）</w:t>
      </w:r>
    </w:p>
    <w:p w14:paraId="16776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6A82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4E6694D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 w14:paraId="6C8D8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 w:firstLine="240" w:firstLineChars="10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此页无正文，为签署盖章页）</w:t>
      </w:r>
    </w:p>
    <w:p w14:paraId="39DCD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 w:firstLine="240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AC2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547D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甲方：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dotted"/>
        </w:rPr>
        <w:t>海南尚霖阳光医学发展基金会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   </w:t>
      </w:r>
    </w:p>
    <w:p w14:paraId="4938E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dotted"/>
        </w:rPr>
      </w:pPr>
    </w:p>
    <w:p w14:paraId="08A98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签字（盖章）：                           </w:t>
      </w:r>
    </w:p>
    <w:p w14:paraId="21DAA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      </w:t>
      </w:r>
    </w:p>
    <w:p w14:paraId="037D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日期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年   月   日</w:t>
      </w:r>
    </w:p>
    <w:p w14:paraId="30125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</w:p>
    <w:p w14:paraId="78C9C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0C454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</w:p>
    <w:p w14:paraId="10E36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</w:p>
    <w:p w14:paraId="7CB28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乙方：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dotted"/>
          <w:lang w:val="en-US" w:eastAsia="zh-CN"/>
        </w:rPr>
        <w:t>xx医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dotted"/>
        </w:rPr>
        <w:t>科大学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dotted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dotted"/>
        </w:rPr>
        <w:t>附属医院</w:t>
      </w:r>
    </w:p>
    <w:p w14:paraId="48DD5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2ABB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签字（盖章）：</w:t>
      </w:r>
    </w:p>
    <w:p w14:paraId="30660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4E2D6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4" w:leftChars="20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年   月   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2F6C8BC6"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br w:type="page"/>
      </w:r>
    </w:p>
    <w:p w14:paraId="2882D099">
      <w:pPr>
        <w:spacing w:line="480" w:lineRule="auto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：</w:t>
      </w:r>
    </w:p>
    <w:p w14:paraId="0BCD15AD">
      <w:pPr>
        <w:spacing w:line="48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甲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乙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方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发票及银行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信息</w:t>
      </w:r>
    </w:p>
    <w:tbl>
      <w:tblPr>
        <w:tblStyle w:val="7"/>
        <w:tblW w:w="865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735"/>
      </w:tblGrid>
      <w:tr w14:paraId="17D0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20" w:type="dxa"/>
            <w:noWrap w:val="0"/>
            <w:vAlign w:val="top"/>
          </w:tcPr>
          <w:p w14:paraId="0595DFD1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甲方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发票及银行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6735" w:type="dxa"/>
            <w:noWrap w:val="0"/>
            <w:vAlign w:val="bottom"/>
          </w:tcPr>
          <w:p w14:paraId="5D6140E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名称：海南尚霖阳光医学发展基金会</w:t>
            </w:r>
          </w:p>
          <w:p w14:paraId="1E7FB5A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税号：53460000MJY991036C</w:t>
            </w:r>
          </w:p>
          <w:p w14:paraId="19E310C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单位地址：海南省海口市秀英区长滨四路10号海长流一期4号楼2单元11层1102房</w:t>
            </w:r>
          </w:p>
          <w:p w14:paraId="2E638F58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电话：0898-68615752</w:t>
            </w:r>
          </w:p>
          <w:p w14:paraId="780F30D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开户银行：上海浦东发展银行股份有限公司海口滨海大道支行</w:t>
            </w:r>
          </w:p>
          <w:p w14:paraId="4CB88CD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银行账户：34040078801800000604</w:t>
            </w:r>
          </w:p>
        </w:tc>
      </w:tr>
      <w:tr w14:paraId="73DC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920" w:type="dxa"/>
            <w:noWrap w:val="0"/>
            <w:vAlign w:val="top"/>
          </w:tcPr>
          <w:p w14:paraId="2BA3A306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发票及银行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6735" w:type="dxa"/>
            <w:noWrap w:val="0"/>
            <w:vAlign w:val="bottom"/>
          </w:tcPr>
          <w:p w14:paraId="50BFB52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</w:t>
            </w:r>
          </w:p>
          <w:p w14:paraId="625D5A6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</w:t>
            </w:r>
          </w:p>
          <w:p w14:paraId="2276FBD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单位地址：</w:t>
            </w:r>
          </w:p>
          <w:p w14:paraId="674F6E9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 w14:paraId="57DF1877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开户银行：</w:t>
            </w:r>
          </w:p>
          <w:p w14:paraId="5014657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银行账户：</w:t>
            </w:r>
          </w:p>
        </w:tc>
      </w:tr>
    </w:tbl>
    <w:p w14:paraId="17BE15DE">
      <w:pPr>
        <w:spacing w:line="480" w:lineRule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3D207C7A">
      <w:pPr>
        <w:spacing w:line="48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甲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乙方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联系人及通讯地址</w:t>
      </w:r>
    </w:p>
    <w:tbl>
      <w:tblPr>
        <w:tblStyle w:val="7"/>
        <w:tblW w:w="865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421"/>
      </w:tblGrid>
      <w:tr w14:paraId="5AB3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50CBE3DC">
            <w:pPr>
              <w:tabs>
                <w:tab w:val="left" w:pos="1065"/>
              </w:tabs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甲方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及电话</w:t>
            </w:r>
          </w:p>
        </w:tc>
        <w:tc>
          <w:tcPr>
            <w:tcW w:w="6421" w:type="dxa"/>
            <w:noWrap w:val="0"/>
            <w:vAlign w:val="top"/>
          </w:tcPr>
          <w:p w14:paraId="32E06849">
            <w:pPr>
              <w:widowControl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崔春 13161971209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，010-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53821782</w:t>
            </w:r>
          </w:p>
        </w:tc>
      </w:tr>
      <w:tr w14:paraId="4C98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34" w:type="dxa"/>
            <w:noWrap w:val="0"/>
            <w:vAlign w:val="center"/>
          </w:tcPr>
          <w:p w14:paraId="691069CF">
            <w:pPr>
              <w:tabs>
                <w:tab w:val="left" w:pos="1065"/>
              </w:tabs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甲方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421" w:type="dxa"/>
            <w:noWrap w:val="0"/>
            <w:vAlign w:val="top"/>
          </w:tcPr>
          <w:p w14:paraId="3ACCBA5A"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北京市朝阳区东四环中路39号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华业国际中心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A单元2层208</w:t>
            </w:r>
          </w:p>
        </w:tc>
      </w:tr>
      <w:tr w14:paraId="65B4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center"/>
          </w:tcPr>
          <w:p w14:paraId="5ECACE3F">
            <w:pPr>
              <w:tabs>
                <w:tab w:val="left" w:pos="1065"/>
              </w:tabs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乙方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及电话</w:t>
            </w:r>
          </w:p>
        </w:tc>
        <w:tc>
          <w:tcPr>
            <w:tcW w:w="6421" w:type="dxa"/>
            <w:noWrap w:val="0"/>
            <w:vAlign w:val="top"/>
          </w:tcPr>
          <w:p w14:paraId="737CB844"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FC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34" w:type="dxa"/>
            <w:noWrap w:val="0"/>
            <w:vAlign w:val="center"/>
          </w:tcPr>
          <w:p w14:paraId="43E14A2A">
            <w:pPr>
              <w:tabs>
                <w:tab w:val="left" w:pos="1065"/>
              </w:tabs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乙方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421" w:type="dxa"/>
            <w:noWrap w:val="0"/>
            <w:vAlign w:val="top"/>
          </w:tcPr>
          <w:p w14:paraId="55EF7F09"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8F9DDE"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B9A0267">
      <w:pP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br w:type="page"/>
      </w:r>
    </w:p>
    <w:p w14:paraId="7697AC42">
      <w:pP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t>附件一：</w:t>
      </w:r>
    </w:p>
    <w:p w14:paraId="33A0AA2E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“</w:t>
      </w: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t>XXXXXXXXXXXXX的</w:t>
      </w:r>
      <w:r>
        <w:rPr>
          <w:rFonts w:hint="eastAsia" w:ascii="华文仿宋" w:hAnsi="华文仿宋" w:eastAsia="华文仿宋" w:cs="华文仿宋"/>
          <w:b/>
          <w:sz w:val="28"/>
          <w:szCs w:val="28"/>
          <w:u w:val="dotted"/>
        </w:rPr>
        <w:t>临床研究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”</w:t>
      </w: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t>课题方案</w:t>
      </w:r>
    </w:p>
    <w:p w14:paraId="77832D8F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6F0811BB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2BDBE30F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14D7D4DF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66863390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59AE800E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5CCFF76D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3F57E736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7B82682B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079CA02F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41F0882C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2BA6F165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3CBC651D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248D0F12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244AD08B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5CED13B0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52223038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6B2B07A4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1003D6BD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6BA4D0AA">
      <w:pPr>
        <w:jc w:val="center"/>
        <w:rPr>
          <w:rFonts w:hint="eastAsia" w:ascii="华文仿宋" w:hAnsi="华文仿宋" w:eastAsia="华文仿宋" w:cs="华文仿宋"/>
          <w:b/>
          <w:sz w:val="28"/>
          <w:szCs w:val="28"/>
        </w:rPr>
      </w:pPr>
    </w:p>
    <w:p w14:paraId="33311A36">
      <w:pP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br w:type="page"/>
      </w:r>
    </w:p>
    <w:p w14:paraId="4A90296A">
      <w:pPr>
        <w:jc w:val="both"/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val="en-US" w:eastAsia="zh-CN"/>
        </w:rPr>
        <w:t>附件二</w:t>
      </w:r>
    </w:p>
    <w:p w14:paraId="5DE12F0C">
      <w:pPr>
        <w:ind w:firstLine="1401" w:firstLineChars="500"/>
        <w:jc w:val="both"/>
        <w:rPr>
          <w:rFonts w:hint="eastAsia"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u w:val="dotted"/>
        </w:rPr>
        <w:t>“</w:t>
      </w:r>
      <w:r>
        <w:rPr>
          <w:rFonts w:hint="eastAsia" w:ascii="华文仿宋" w:hAnsi="华文仿宋" w:eastAsia="华文仿宋" w:cs="华文仿宋"/>
          <w:b/>
          <w:sz w:val="28"/>
          <w:szCs w:val="28"/>
          <w:u w:val="dotted"/>
          <w:lang w:val="en-US" w:eastAsia="zh-CN"/>
        </w:rPr>
        <w:t>XXXXXXXXXXXXX</w:t>
      </w:r>
      <w:r>
        <w:rPr>
          <w:rFonts w:hint="eastAsia" w:ascii="华文仿宋" w:hAnsi="华文仿宋" w:eastAsia="华文仿宋" w:cs="华文仿宋"/>
          <w:b/>
          <w:sz w:val="28"/>
          <w:szCs w:val="28"/>
          <w:u w:val="dotted"/>
        </w:rPr>
        <w:t>的临床研究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”经费预算</w:t>
      </w:r>
    </w:p>
    <w:tbl>
      <w:tblPr>
        <w:tblStyle w:val="7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34"/>
        <w:gridCol w:w="1169"/>
        <w:gridCol w:w="5068"/>
      </w:tblGrid>
      <w:tr w14:paraId="4D1E0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45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4127E1">
            <w:pPr>
              <w:widowControl/>
              <w:jc w:val="left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单位:元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09EB15">
            <w:pPr>
              <w:widowControl/>
              <w:jc w:val="right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预算时间：202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年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</w:rPr>
              <w:t>月</w:t>
            </w:r>
          </w:p>
        </w:tc>
      </w:tr>
      <w:tr w14:paraId="49B06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F772C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32A9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  <w:t>摘  要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255A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  <w:t>金 额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FAF5D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  <w:t>备 注</w:t>
            </w:r>
          </w:p>
        </w:tc>
      </w:tr>
      <w:tr w14:paraId="32C09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8488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E083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科研经费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69458">
            <w:pPr>
              <w:widowControl/>
              <w:jc w:val="righ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816E"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</w:p>
          <w:p w14:paraId="48BD8AC9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购买试剂：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万 检测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万</w:t>
            </w:r>
          </w:p>
          <w:p w14:paraId="606161B4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细胞株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万 文献检索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万 发表论文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x篇x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万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字</w:t>
            </w:r>
          </w:p>
          <w:p w14:paraId="49D9058C"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 xml:space="preserve">  </w:t>
            </w:r>
          </w:p>
        </w:tc>
      </w:tr>
      <w:tr w14:paraId="2485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A3E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140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4B265">
            <w:pPr>
              <w:widowControl/>
              <w:jc w:val="righ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C894"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实验中心使用及人员监测：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万；</w:t>
            </w:r>
          </w:p>
        </w:tc>
      </w:tr>
      <w:tr w14:paraId="7E137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FA7C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C68C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管理费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3DA4D">
            <w:pPr>
              <w:widowControl/>
              <w:jc w:val="righ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E46C">
            <w:pPr>
              <w:widowControl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科研单位相关管理费用</w:t>
            </w:r>
          </w:p>
        </w:tc>
      </w:tr>
      <w:tr w14:paraId="6D512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A7A58">
            <w:pPr>
              <w:widowControl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  <w:t>费用合计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F263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70EF6">
            <w:pPr>
              <w:widowControl/>
              <w:jc w:val="righ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A8FD">
            <w:pPr>
              <w:widowControl/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  <w:t>此金额为发票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  <w:lang w:val="en-US" w:eastAsia="zh-CN"/>
              </w:rPr>
              <w:t>含税合计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</w:tr>
    </w:tbl>
    <w:p w14:paraId="5D415698">
      <w:pPr>
        <w:ind w:left="2"/>
        <w:rPr>
          <w:rFonts w:hint="eastAsia" w:ascii="华文仿宋" w:hAnsi="华文仿宋" w:eastAsia="华文仿宋" w:cs="华文仿宋"/>
          <w:lang w:val="en-US" w:eastAsia="zh-CN"/>
        </w:rPr>
      </w:pPr>
    </w:p>
    <w:p w14:paraId="27BCD29A">
      <w:pPr>
        <w:ind w:left="2"/>
        <w:rPr>
          <w:rFonts w:hint="eastAsia" w:ascii="华文仿宋" w:hAnsi="华文仿宋" w:eastAsia="华文仿宋" w:cs="华文仿宋"/>
          <w:lang w:val="en-US" w:eastAsia="zh-CN"/>
        </w:rPr>
      </w:pPr>
    </w:p>
    <w:sectPr>
      <w:footerReference r:id="rId3" w:type="default"/>
      <w:pgSz w:w="11906" w:h="16838"/>
      <w:pgMar w:top="1440" w:right="1814" w:bottom="1440" w:left="18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65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DB97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DB97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23BF6B"/>
    <w:multiLevelType w:val="singleLevel"/>
    <w:tmpl w:val="2623BF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mYmQ4MTA4YzQzNjVhYTRmYjAxM2U2ZTE1YWYyOGUifQ=="/>
  </w:docVars>
  <w:rsids>
    <w:rsidRoot w:val="00B851DA"/>
    <w:rsid w:val="00151C6C"/>
    <w:rsid w:val="003B3881"/>
    <w:rsid w:val="00464E14"/>
    <w:rsid w:val="00B851DA"/>
    <w:rsid w:val="028E246E"/>
    <w:rsid w:val="02E05748"/>
    <w:rsid w:val="063C1C98"/>
    <w:rsid w:val="06446A09"/>
    <w:rsid w:val="06A74829"/>
    <w:rsid w:val="07DB2DC2"/>
    <w:rsid w:val="08D27724"/>
    <w:rsid w:val="08E65ADD"/>
    <w:rsid w:val="094F1335"/>
    <w:rsid w:val="096B1B3E"/>
    <w:rsid w:val="0AEC4F01"/>
    <w:rsid w:val="0CC110BC"/>
    <w:rsid w:val="139B20B6"/>
    <w:rsid w:val="157306F8"/>
    <w:rsid w:val="174A5489"/>
    <w:rsid w:val="175C5A7D"/>
    <w:rsid w:val="179B269E"/>
    <w:rsid w:val="18825528"/>
    <w:rsid w:val="19355CC5"/>
    <w:rsid w:val="195A074C"/>
    <w:rsid w:val="1AFA5418"/>
    <w:rsid w:val="1D8B27F6"/>
    <w:rsid w:val="1E5815DB"/>
    <w:rsid w:val="1F4849A4"/>
    <w:rsid w:val="202C7E22"/>
    <w:rsid w:val="20625678"/>
    <w:rsid w:val="206C46C2"/>
    <w:rsid w:val="22041550"/>
    <w:rsid w:val="22317971"/>
    <w:rsid w:val="237A5348"/>
    <w:rsid w:val="25262F8B"/>
    <w:rsid w:val="268F2EB8"/>
    <w:rsid w:val="27D55364"/>
    <w:rsid w:val="28E84C51"/>
    <w:rsid w:val="29C325B2"/>
    <w:rsid w:val="2A297180"/>
    <w:rsid w:val="2C2E3173"/>
    <w:rsid w:val="3203475A"/>
    <w:rsid w:val="338F44F8"/>
    <w:rsid w:val="33E52369"/>
    <w:rsid w:val="345D6B1D"/>
    <w:rsid w:val="34D128B0"/>
    <w:rsid w:val="39875C71"/>
    <w:rsid w:val="39B822CE"/>
    <w:rsid w:val="3AA0523C"/>
    <w:rsid w:val="3B3B4F65"/>
    <w:rsid w:val="3E546A69"/>
    <w:rsid w:val="3F4B392D"/>
    <w:rsid w:val="408353E4"/>
    <w:rsid w:val="40D02FFE"/>
    <w:rsid w:val="42225147"/>
    <w:rsid w:val="42DA6CC9"/>
    <w:rsid w:val="47D66741"/>
    <w:rsid w:val="49F7299F"/>
    <w:rsid w:val="4A644D51"/>
    <w:rsid w:val="4A6D4A0F"/>
    <w:rsid w:val="4AB83EDC"/>
    <w:rsid w:val="4BD25472"/>
    <w:rsid w:val="4C066EC9"/>
    <w:rsid w:val="4D341814"/>
    <w:rsid w:val="4E593C28"/>
    <w:rsid w:val="4F275616"/>
    <w:rsid w:val="523F23C8"/>
    <w:rsid w:val="53FB0B46"/>
    <w:rsid w:val="56C37E91"/>
    <w:rsid w:val="5C2B76EA"/>
    <w:rsid w:val="5CB14A51"/>
    <w:rsid w:val="5E287173"/>
    <w:rsid w:val="5F6A7651"/>
    <w:rsid w:val="601D6342"/>
    <w:rsid w:val="613958BE"/>
    <w:rsid w:val="61DB4C28"/>
    <w:rsid w:val="62E94FF3"/>
    <w:rsid w:val="634436DA"/>
    <w:rsid w:val="63FD075A"/>
    <w:rsid w:val="66863138"/>
    <w:rsid w:val="67892A30"/>
    <w:rsid w:val="67AE7B43"/>
    <w:rsid w:val="68592C49"/>
    <w:rsid w:val="69E55F18"/>
    <w:rsid w:val="6A723C50"/>
    <w:rsid w:val="6ACD0E86"/>
    <w:rsid w:val="6BA3608B"/>
    <w:rsid w:val="6C627439"/>
    <w:rsid w:val="6C835AB7"/>
    <w:rsid w:val="709C1A26"/>
    <w:rsid w:val="71321FFF"/>
    <w:rsid w:val="71A35F6D"/>
    <w:rsid w:val="735C549D"/>
    <w:rsid w:val="73FB2F08"/>
    <w:rsid w:val="749F7D37"/>
    <w:rsid w:val="75DF40BB"/>
    <w:rsid w:val="78006D3F"/>
    <w:rsid w:val="78761059"/>
    <w:rsid w:val="7A140880"/>
    <w:rsid w:val="7C3E7E36"/>
    <w:rsid w:val="7F802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qFormat/>
    <w:uiPriority w:val="99"/>
    <w:rPr>
      <w:b/>
      <w:bCs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annotation reference"/>
    <w:basedOn w:val="8"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无间隔11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无间隔1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8"/>
    <w:link w:val="2"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6"/>
    <w:qFormat/>
    <w:uiPriority w:val="99"/>
    <w:rPr>
      <w:b/>
      <w:bCs/>
      <w:kern w:val="2"/>
      <w:sz w:val="21"/>
      <w:szCs w:val="22"/>
    </w:rPr>
  </w:style>
  <w:style w:type="character" w:customStyle="1" w:styleId="19">
    <w:name w:val="批注框文本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2397</Words>
  <Characters>2569</Characters>
  <Lines>16</Lines>
  <Paragraphs>4</Paragraphs>
  <TotalTime>7</TotalTime>
  <ScaleCrop>false</ScaleCrop>
  <LinksUpToDate>false</LinksUpToDate>
  <CharactersWithSpaces>2754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2021-06-03T08:28:00Z</dcterms:created>
  <dc:creator>Wolf-Shao</dc:creator>
  <cp:lastModifiedBy>巨石阵</cp:lastModifiedBy>
  <cp:lastPrinted>2021-01-29T14:45:00Z</cp:lastPrinted>
  <dcterms:modified xsi:type="dcterms:W3CDTF">2025-11-27T02:31:16Z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5B180C59D9FA49C5A7137834CE64A699_13</vt:lpwstr>
  </property>
  <property fmtid="{D5CDD505-2E9C-101B-9397-08002B2CF9AE}" pid="4" name="KSOTemplateDocerSaveRecord">
    <vt:lpwstr>eyJoZGlkIjoiNjY2MjVmZjY3MzYyZDFiMTBiOTQzOTg3YTVjYTA0ZjkiLCJ1c2VySWQiOiIzMzM3ODYyMDEifQ==</vt:lpwstr>
  </property>
</Properties>
</file>